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jfin-2026-07-02-6-k.htm"/>
      <w:bookmarkStart w:id="1" w:name="ksjfin202607026k"/>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5"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10" w:after="283"/>
        <w:jc w:val="center"/>
        <w:rPr>
          <w:rFonts w:ascii="Times New Roman" w:hAnsi="Times New Roman"/>
          <w:b/>
          <w:color w:val="000000"/>
          <w:sz w:val="21"/>
        </w:rPr>
      </w:pPr>
      <w:r>
        <w:rPr>
          <w:rFonts w:ascii="Times New Roman" w:hAnsi="Times New Roman"/>
          <w:b/>
          <w:color w:val="000000"/>
          <w:sz w:val="21"/>
        </w:rPr>
        <w:t>Washington, D.C. 20549</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REPORT OF FOREIGN PRIVATE ISSUER</w:t>
      </w:r>
    </w:p>
    <w:p>
      <w:pPr>
        <w:pStyle w:val="TextBody"/>
        <w:bidi w:val="0"/>
        <w:jc w:val="center"/>
        <w:rPr>
          <w:rFonts w:ascii="Times New Roman" w:hAnsi="Times New Roman"/>
          <w:b/>
          <w:color w:val="000000"/>
          <w:sz w:val="21"/>
        </w:rPr>
      </w:pPr>
      <w:r>
        <w:rPr>
          <w:rFonts w:ascii="Times New Roman" w:hAnsi="Times New Roman"/>
          <w:b/>
          <w:color w:val="000000"/>
          <w:sz w:val="21"/>
        </w:rPr>
        <w:t>PURSUANT TO RULE 13a-16 OR 15d-16</w:t>
      </w:r>
    </w:p>
    <w:p>
      <w:pPr>
        <w:pStyle w:val="TextBody"/>
        <w:bidi w:val="0"/>
        <w:jc w:val="center"/>
        <w:rPr>
          <w:rFonts w:ascii="Times New Roman" w:hAnsi="Times New Roman"/>
          <w:b/>
          <w:color w:val="000000"/>
          <w:sz w:val="21"/>
        </w:rPr>
      </w:pPr>
      <w:r>
        <w:rPr>
          <w:rFonts w:ascii="Times New Roman" w:hAnsi="Times New Roman"/>
          <w:b/>
          <w:color w:val="000000"/>
          <w:sz w:val="21"/>
        </w:rPr>
        <w:t>UNDER THE SECURITIES EXCHANGE ACT OF 1934</w:t>
      </w:r>
    </w:p>
    <w:p>
      <w:pPr>
        <w:pStyle w:val="TextBody"/>
        <w:bidi w:val="0"/>
        <w:spacing w:before="19"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month of July 2026</w:t>
      </w:r>
    </w:p>
    <w:p>
      <w:pPr>
        <w:pStyle w:val="TextBody"/>
        <w:bidi w:val="0"/>
        <w:spacing w:before="15"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001-38806</w:t>
      </w:r>
    </w:p>
    <w:p>
      <w:pPr>
        <w:pStyle w:val="TextBody"/>
        <w:bidi w:val="0"/>
        <w:spacing w:before="120" w:after="283"/>
        <w:jc w:val="center"/>
        <w:rPr>
          <w:rFonts w:ascii="Times New Roman" w:hAnsi="Times New Roman"/>
          <w:b/>
          <w:color w:val="000000"/>
          <w:sz w:val="43"/>
        </w:rPr>
      </w:pPr>
      <w:r>
        <w:rPr>
          <w:rFonts w:ascii="Times New Roman" w:hAnsi="Times New Roman"/>
          <w:b/>
          <w:color w:val="000000"/>
          <w:sz w:val="43"/>
        </w:rPr>
        <w:t>Jiayin Group Inc.</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18th Floor, Building No. 1, Youyou Century Plaza,</w:t>
      </w:r>
    </w:p>
    <w:p>
      <w:pPr>
        <w:pStyle w:val="TextBody"/>
        <w:bidi w:val="0"/>
        <w:spacing w:before="4" w:after="283"/>
        <w:jc w:val="center"/>
        <w:rPr>
          <w:rFonts w:ascii="Times New Roman" w:hAnsi="Times New Roman"/>
          <w:b/>
          <w:color w:val="000000"/>
          <w:sz w:val="18"/>
        </w:rPr>
      </w:pPr>
      <w:r>
        <w:rPr>
          <w:rFonts w:ascii="Times New Roman" w:hAnsi="Times New Roman"/>
          <w:b/>
          <w:color w:val="000000"/>
          <w:sz w:val="18"/>
        </w:rPr>
        <w:t>428 South Yanggao Road, Pudong New Area, Shanghai 200122</w:t>
      </w:r>
    </w:p>
    <w:p>
      <w:pPr>
        <w:pStyle w:val="TextBody"/>
        <w:bidi w:val="0"/>
        <w:jc w:val="center"/>
        <w:rPr>
          <w:rFonts w:ascii="Times New Roman" w:hAnsi="Times New Roman"/>
          <w:b/>
          <w:color w:val="000000"/>
          <w:sz w:val="18"/>
        </w:rPr>
      </w:pPr>
      <w:r>
        <w:rPr>
          <w:rFonts w:ascii="Times New Roman" w:hAnsi="Times New Roman"/>
          <w:b/>
          <w:color w:val="000000"/>
          <w:sz w:val="18"/>
        </w:rPr>
        <w:t>People’s Republic of China</w:t>
      </w:r>
    </w:p>
    <w:p>
      <w:pPr>
        <w:pStyle w:val="TextBody"/>
        <w:bidi w:val="0"/>
        <w:spacing w:before="5" w:after="283"/>
        <w:jc w:val="center"/>
        <w:rPr>
          <w:rFonts w:ascii="Times New Roman" w:hAnsi="Times New Roman"/>
          <w:b/>
          <w:color w:val="000000"/>
          <w:sz w:val="14"/>
        </w:rPr>
      </w:pPr>
      <w:r>
        <w:rPr>
          <w:rFonts w:ascii="Times New Roman" w:hAnsi="Times New Roman"/>
          <w:b/>
          <w:color w:val="000000"/>
          <w:sz w:val="14"/>
        </w:rPr>
        <w:t>(Address of principal executive offices)</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files or will file annual reports under cover of Form 20-F or Form 40-F.</w:t>
      </w:r>
    </w:p>
    <w:p>
      <w:pPr>
        <w:pStyle w:val="TextBody"/>
        <w:bidi w:val="0"/>
        <w:jc w:val="left"/>
        <w:rPr/>
      </w:pPr>
      <w:r>
        <w:rPr/>
        <w:t> </w:t>
      </w:r>
    </w:p>
    <w:tbl>
      <w:tblPr>
        <w:tblW w:w="2398" w:type="dxa"/>
        <w:jc w:val="left"/>
        <w:tblInd w:w="0" w:type="dxa"/>
        <w:tblLayout w:type="fixed"/>
        <w:tblCellMar>
          <w:top w:w="28" w:type="dxa"/>
          <w:left w:w="28" w:type="dxa"/>
          <w:bottom w:w="28" w:type="dxa"/>
          <w:right w:w="28" w:type="dxa"/>
        </w:tblCellMar>
      </w:tblPr>
      <w:tblGrid>
        <w:gridCol w:w="1111"/>
        <w:gridCol w:w="146"/>
        <w:gridCol w:w="114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40-F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EXHIBIT INDEX</w:t>
      </w:r>
    </w:p>
    <w:p>
      <w:pPr>
        <w:pStyle w:val="TextBody"/>
        <w:bidi w:val="0"/>
        <w:jc w:val="left"/>
        <w:rPr/>
      </w:pPr>
      <w:r>
        <w:rPr/>
        <w:t> </w:t>
      </w:r>
    </w:p>
    <w:tbl>
      <w:tblPr>
        <w:tblW w:w="6418" w:type="dxa"/>
        <w:jc w:val="left"/>
        <w:tblInd w:w="0" w:type="dxa"/>
        <w:tblLayout w:type="fixed"/>
        <w:tblCellMar>
          <w:top w:w="28" w:type="dxa"/>
          <w:left w:w="28" w:type="dxa"/>
          <w:bottom w:w="28" w:type="dxa"/>
          <w:right w:w="28" w:type="dxa"/>
        </w:tblCellMar>
      </w:tblPr>
      <w:tblGrid>
        <w:gridCol w:w="991"/>
        <w:gridCol w:w="146"/>
        <w:gridCol w:w="528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Description</w:t>
            </w:r>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pPr>
            <w:hyperlink w:anchor="jfin-ex99_1.htm">
              <w:r>
                <w:rPr>
                  <w:rStyle w:val="InternetLink"/>
                  <w:rFonts w:ascii="Times New Roman" w:hAnsi="Times New Roman"/>
                  <w:color w:val="0000FF"/>
                  <w:sz w:val="20"/>
                  <w:u w:val="single"/>
                </w:rPr>
                <w:t>Press Release: Jiayin Group Inc. Announces Change of Director</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SIGNATURE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639" w:type="dxa"/>
        <w:jc w:val="left"/>
        <w:tblInd w:w="0" w:type="dxa"/>
        <w:tblLayout w:type="fixed"/>
        <w:tblCellMar>
          <w:top w:w="28" w:type="dxa"/>
          <w:left w:w="28" w:type="dxa"/>
          <w:bottom w:w="28" w:type="dxa"/>
          <w:right w:w="28" w:type="dxa"/>
        </w:tblCellMar>
      </w:tblPr>
      <w:tblGrid>
        <w:gridCol w:w="161"/>
        <w:gridCol w:w="146"/>
        <w:gridCol w:w="571"/>
        <w:gridCol w:w="27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Jiayin Group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Dinggui Yan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Dinggui Yan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Chief Executive Officer</w:t>
            </w:r>
          </w:p>
        </w:tc>
      </w:tr>
    </w:tbl>
    <w:p>
      <w:pPr>
        <w:pStyle w:val="TextBody"/>
        <w:bidi w:val="0"/>
        <w:jc w:val="left"/>
        <w:rPr>
          <w:rFonts w:ascii="Times New Roman" w:hAnsi="Times New Roman"/>
          <w:color w:val="000000"/>
          <w:sz w:val="18"/>
        </w:rPr>
      </w:pPr>
      <w:r>
        <w:rPr>
          <w:rFonts w:ascii="Times New Roman" w:hAnsi="Times New Roman"/>
          <w:color w:val="000000"/>
          <w:sz w:val="18"/>
        </w:rPr>
        <w:t>Date: July 2,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jfin-ex99_1.htm"/>
      <w:bookmarkStart w:id="3" w:name="ksjfinex99_1"/>
      <w:bookmarkStart w:id="4" w:name="jfin-ex99_1.htm"/>
      <w:bookmarkStart w:id="5" w:name="ksjfinex99_1"/>
      <w:bookmarkEnd w:id="4"/>
      <w:bookmarkEnd w:id="5"/>
      <w:r>
        <w:br w:type="page"/>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Exhibit 99.1</w:t>
            </w:r>
          </w:p>
        </w:tc>
      </w:tr>
      <w:tr>
        <w:trPr/>
        <w:tc>
          <w:tcPr>
            <w:tcW w:w="2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Jiayin Group Inc. Announces Change of Director</w:t>
      </w:r>
    </w:p>
    <w:p>
      <w:pPr>
        <w:pStyle w:val="TextBody"/>
        <w:bidi w:val="0"/>
        <w:jc w:val="both"/>
        <w:rPr>
          <w:rFonts w:ascii="Times New Roman" w:hAnsi="Times New Roman"/>
          <w:sz w:val="20"/>
        </w:rPr>
      </w:pPr>
      <w:r>
        <w:rPr>
          <w:rFonts w:ascii="Times New Roman" w:hAnsi="Times New Roman"/>
          <w:color w:val="000000"/>
          <w:sz w:val="24"/>
        </w:rPr>
        <w:t>SHANGHAI, China, July 2, 2026 (GLOBE NEWSWIRE) -- Jiayin Group Inc. (“Jiayin” or the “Company”) (NASDAQ: JFIN), a leading fintech platform in China, today announced that Ms. Xiaojing Lu has been appointed as a director of the Company’s board of directors (the “Board”), a member of the compensation committee of the Board and a member of the nominating and corporate governance committee of the Board, effective as of July 1, 2026. Ms. Yifang Xu has resigned from her position as a director of the Company, a member of the compensation committee of the Board and a member of the nominating and corporate governance committee of the Board, effective as of July 1, 2026, for personal reasons.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Ms. Xiaojing Lu brings over 15 years of expertise in financial technology and services to the Board, with a proven track record spanning credit user growth, credit operations, and risk management. Ms. Lu has served as Vice President of Credit User Growth Operations since April 2025, spearheading the Company’s borrower acquisition, lifecycle engagement, and operational initiatives. Since joining the Company in 2019, she has been responsible for market expansion, operational scaling, and risk strategy, having previously served as Senior Director and Director of Credit User Growth Operations from 2021 to April 2025, and Senior Manager of Risk Strategy from 2019 to 2021. Prior to joining the Company, Ms. Lu led risk management and credit operations teams at various financial information services firms from 2015 to 2019. She began her career at Ping An Data Technology (Shenzhen) Co., Ltd. in 2011. Ms. Lu is currently pursuing an Executive MBA at China Europe International Business School (CEIBS) and she received her MBA from East China Normal University in 2023.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Mr. Dinggui Yan, the Company’s Founder, Director and Chief Executive Officer, commented, “On behalf of the Board and the company, I would like to express our sincere gratitude to Ms. Yifang Xu for her dedicated service and valued insights during her tenure as director. We are pleased to appoint Ms. Xiaojing Lu as a director. Over the past six years, Ms. Lu has been a vital leader within our executive team, demonstrating a profound understanding of our operational framework and industry ecosystem. Her proven leadership and deep corporate insight will be invaluable to the sustainable development of the Company.”</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About Jiayin Group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Jiayin Group Inc. is a leading fintech platform in China committed to facilitating effective, transparent, secure and fast connections between underserved individual borrowers and financial institutions. The origin of the business of the Company can be traced back to 2011. The Company operates a highly secure and open platform with a comprehensive risk management system and a proprietary and effective risk assessment model which employs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Exhibit 99.1</w:t>
            </w:r>
          </w:p>
        </w:tc>
      </w:tr>
      <w:tr>
        <w:trPr/>
        <w:tc>
          <w:tcPr>
            <w:tcW w:w="2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advanced big data analytics and sophisticated algorithms to accurately assess the risk profiles of potential borrowers. For more information, please visit http://ir.jiayintech.cn/.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Safe Harbor / Forward-Looking Statements</w:t>
      </w:r>
    </w:p>
    <w:p>
      <w:pPr>
        <w:pStyle w:val="TextBody"/>
        <w:bidi w:val="0"/>
        <w:jc w:val="both"/>
        <w:rPr>
          <w:rFonts w:ascii="Times New Roman" w:hAnsi="Times New Roman"/>
          <w:color w:val="000000"/>
          <w:sz w:val="24"/>
        </w:rPr>
      </w:pPr>
      <w:r>
        <w:rPr>
          <w:rFonts w:ascii="Times New Roman" w:hAnsi="Times New Roman"/>
          <w:color w:val="000000"/>
          <w:sz w:val="24"/>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The Company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are based on current expectations, assumptions, estimates and projections about the Company and the industry. Potential risks and uncertainties include, but are not limited to, those relating to the Company’s ability to retain existing borrowers and attract new borrowers in an effective and cost-efficient way, the Company’s ability to increase the transaction volume through its marketplace, effectiveness of the Company’s credit assessment model and risk management system, PRC laws and regulations relating to the online individual finance industry in China, general economic conditions in China, and the Company’s ability to meet the standards necessary to maintain listing of its ADSs on the Nasdaq Stock Market or other stock exchange, including its ability to cure any non-compliance with the continued listing criteria of the Nasdaq Stock Market. All information provided in this press release is as of the date hereof, and the Company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including its annual report on Form 20-F.</w:t>
      </w:r>
    </w:p>
    <w:p>
      <w:pPr>
        <w:pStyle w:val="TextBody"/>
        <w:bidi w:val="0"/>
        <w:jc w:val="both"/>
        <w:rPr>
          <w:rFonts w:ascii="Times New Roman" w:hAnsi="Times New Roman"/>
          <w:sz w:val="20"/>
        </w:rPr>
      </w:pPr>
      <w:r>
        <w:rPr>
          <w:rFonts w:ascii="Times New Roman" w:hAnsi="Times New Roman"/>
          <w:b/>
          <w:color w:val="000000"/>
          <w:sz w:val="24"/>
        </w:rPr>
        <w:t>For investor and media inquiries, please contact:</w:t>
      </w:r>
      <w:r>
        <w:rPr>
          <w:rFonts w:ascii="Times New Roman" w:hAnsi="Times New Roman"/>
          <w:color w:val="000000"/>
          <w:sz w:val="20"/>
        </w:rPr>
        <w:t xml:space="preserve"> </w:t>
      </w:r>
    </w:p>
    <w:p>
      <w:pPr>
        <w:pStyle w:val="TextBody"/>
        <w:bidi w:val="0"/>
        <w:jc w:val="both"/>
        <w:rPr>
          <w:rFonts w:ascii="Times New Roman" w:hAnsi="Times New Roman"/>
          <w:b/>
          <w:color w:val="000000"/>
          <w:sz w:val="24"/>
        </w:rPr>
      </w:pPr>
      <w:r>
        <w:rPr>
          <w:rFonts w:ascii="Times New Roman" w:hAnsi="Times New Roman"/>
          <w:b/>
          <w:color w:val="000000"/>
          <w:sz w:val="24"/>
        </w:rPr>
        <w:t>Jiayin Group</w:t>
      </w:r>
    </w:p>
    <w:p>
      <w:pPr>
        <w:pStyle w:val="TextBody"/>
        <w:bidi w:val="0"/>
        <w:jc w:val="both"/>
        <w:rPr>
          <w:rFonts w:ascii="Times New Roman" w:hAnsi="Times New Roman"/>
          <w:color w:val="000000"/>
          <w:sz w:val="24"/>
        </w:rPr>
      </w:pPr>
      <w:r>
        <w:rPr>
          <w:rFonts w:ascii="Times New Roman" w:hAnsi="Times New Roman"/>
          <w:color w:val="000000"/>
          <w:sz w:val="24"/>
        </w:rPr>
        <w:t>Ms. Emily Lu</w:t>
      </w:r>
    </w:p>
    <w:p>
      <w:pPr>
        <w:pStyle w:val="TextBody"/>
        <w:bidi w:val="0"/>
        <w:jc w:val="both"/>
        <w:rPr>
          <w:rFonts w:ascii="Times New Roman" w:hAnsi="Times New Roman"/>
          <w:sz w:val="20"/>
        </w:rPr>
      </w:pPr>
      <w:r>
        <w:rPr>
          <w:rFonts w:ascii="Times New Roman" w:hAnsi="Times New Roman"/>
          <w:color w:val="000000"/>
          <w:sz w:val="24"/>
        </w:rPr>
        <w:t xml:space="preserve">Email: </w:t>
      </w:r>
      <w:r>
        <w:rPr>
          <w:rFonts w:ascii="Times New Roman" w:hAnsi="Times New Roman"/>
          <w:color w:val="0563C1"/>
          <w:sz w:val="24"/>
          <w:u w:val="single"/>
        </w:rPr>
        <w:t>ir@jiayinfintech.cn</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1020</Words>
  <Characters>5726</Characters>
  <CharactersWithSpaces>6748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