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2540</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86995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REPORT OF FOREIGN PRIVATE ISSUER</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PURSUANT TO RULE 13a-16 OR 15d-16</w:t>
      </w: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UNDER THE SECURITIES EXCHANGE ACT OF 1934</w:t>
      </w:r>
    </w:p>
    <w:p>
      <w:pPr>
        <w:spacing w:after="0" w:line="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 the month of June 2026</w:t>
      </w:r>
    </w:p>
    <w:p>
      <w:pPr>
        <w:spacing w:after="0" w:line="1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Commission File Number: 001-38806</w:t>
      </w:r>
    </w:p>
    <w:p>
      <w:pPr>
        <w:spacing w:after="0" w:line="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Jiayin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27305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18th Floor, Building No. 1, Youyou Century Plaza,</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428 South Yanggao Road, Pudong New Area, Shanghai 200122</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54610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64" w:lineRule="exact"/>
        <w:rPr>
          <w:sz w:val="24"/>
          <w:szCs w:val="24"/>
          <w:color w:val="auto"/>
        </w:rPr>
      </w:pPr>
    </w:p>
    <w:p>
      <w:pPr>
        <w:ind w:left="4260"/>
        <w:spacing w:after="0" w:line="184" w:lineRule="exact"/>
        <w:tabs>
          <w:tab w:leader="none" w:pos="606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9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2"/>
          </w:tcPr>
          <w:p>
            <w:pPr>
              <w:ind w:left="350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43"/>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24"/>
                <w:szCs w:val="24"/>
                <w:color w:val="auto"/>
              </w:rPr>
            </w:pPr>
          </w:p>
        </w:tc>
        <w:tc>
          <w:tcPr>
            <w:tcW w:w="9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91"/>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Exhibit 99.1</w:t>
            </w:r>
          </w:p>
        </w:tc>
        <w:tc>
          <w:tcPr>
            <w:tcW w:w="1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Jiayin Group Inc. Reports First Quarter 2026 Unaudited Financial Results</w:t>
            </w:r>
          </w:p>
        </w:tc>
      </w:tr>
      <w:tr>
        <w:trPr>
          <w:trHeight w:val="594"/>
        </w:trPr>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380" w:type="dxa"/>
            <w:vAlign w:val="bottom"/>
            <w:tcBorders>
              <w:top w:val="single" w:sz="8" w:color="0000FF"/>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3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Jiayin Group Inc.</w:t>
      </w:r>
    </w:p>
    <w:p>
      <w:pPr>
        <w:spacing w:after="0" w:line="262" w:lineRule="exact"/>
        <w:rPr>
          <w:sz w:val="20"/>
          <w:szCs w:val="20"/>
          <w:color w:val="auto"/>
        </w:rPr>
      </w:pPr>
    </w:p>
    <w:tbl>
      <w:tblPr>
        <w:tblLayout w:type="fixed"/>
        <w:tblInd w:w="6420" w:type="dxa"/>
        <w:tblCellMar>
          <w:top w:w="0" w:type="dxa"/>
          <w:left w:w="0" w:type="dxa"/>
          <w:bottom w:w="0" w:type="dxa"/>
          <w:right w:w="0" w:type="dxa"/>
        </w:tblCellMar>
      </w:tblP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Dinggui Yan</w:t>
            </w:r>
          </w:p>
        </w:tc>
      </w:t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Dinggui Yan</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Chief Executive Officer</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97155</wp:posOffset>
            </wp:positionV>
            <wp:extent cx="113157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15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b w:val="1"/>
          <w:bCs w:val="1"/>
          <w:color w:val="auto"/>
        </w:rPr>
        <w:t>Jiayin Group Inc. Reports First Quarter 2026 Unaudited Financial Results</w:t>
      </w: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SHANGHAI, China, June 23, 2026 (GLOBE NEWSWIRE) --Jiayin Group Inc. (“Jiayin” or the “Company”) (NASDAQ: JFIN), a leading fintech platform in China, today announced its unaudited financial results for the first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Operational and Financial Highlights:</w:t>
      </w:r>
    </w:p>
    <w:p>
      <w:pPr>
        <w:spacing w:after="0" w:line="255" w:lineRule="exact"/>
        <w:rPr>
          <w:sz w:val="20"/>
          <w:szCs w:val="20"/>
          <w:color w:val="auto"/>
        </w:rPr>
      </w:pPr>
    </w:p>
    <w:p>
      <w:pPr>
        <w:ind w:left="820" w:hanging="377"/>
        <w:spacing w:after="0" w:line="223" w:lineRule="auto"/>
        <w:tabs>
          <w:tab w:leader="none" w:pos="8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volume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was RMB19.3 billion (US$2.8 billion), representing a decrease of 45.8% from the same period of 2025.</w:t>
      </w:r>
    </w:p>
    <w:p>
      <w:pPr>
        <w:spacing w:after="0" w:line="204" w:lineRule="exact"/>
        <w:rPr>
          <w:rFonts w:ascii="Times New Roman" w:cs="Times New Roman" w:eastAsia="Times New Roman" w:hAnsi="Times New Roman"/>
          <w:sz w:val="22"/>
          <w:szCs w:val="22"/>
          <w:color w:val="auto"/>
        </w:rPr>
      </w:pPr>
    </w:p>
    <w:p>
      <w:pPr>
        <w:ind w:left="820" w:hanging="377"/>
        <w:spacing w:after="0" w:line="258" w:lineRule="auto"/>
        <w:tabs>
          <w:tab w:leader="none" w:pos="8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Average borrowing amount per borrowing was RMB7,111 (US$1,031), representing a decrease of 11.0% from the same period of 2025.</w:t>
      </w:r>
    </w:p>
    <w:p>
      <w:pPr>
        <w:spacing w:after="0" w:line="202" w:lineRule="exact"/>
        <w:rPr>
          <w:rFonts w:ascii="Times New Roman" w:cs="Times New Roman" w:eastAsia="Times New Roman" w:hAnsi="Times New Roman"/>
          <w:sz w:val="22"/>
          <w:szCs w:val="22"/>
          <w:color w:val="auto"/>
        </w:rPr>
      </w:pPr>
    </w:p>
    <w:p>
      <w:pPr>
        <w:ind w:left="820" w:hanging="377"/>
        <w:spacing w:after="0"/>
        <w:tabs>
          <w:tab w:leader="none" w:pos="8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Repeat borrowing contribution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was 76.3%, compared with 71.9% in the same period of 2025.</w:t>
      </w:r>
    </w:p>
    <w:p>
      <w:pPr>
        <w:spacing w:after="0" w:line="191" w:lineRule="exact"/>
        <w:rPr>
          <w:rFonts w:ascii="Times New Roman" w:cs="Times New Roman" w:eastAsia="Times New Roman" w:hAnsi="Times New Roman"/>
          <w:sz w:val="22"/>
          <w:szCs w:val="22"/>
          <w:color w:val="auto"/>
        </w:rPr>
      </w:pPr>
    </w:p>
    <w:p>
      <w:pPr>
        <w:ind w:left="820" w:hanging="377"/>
        <w:spacing w:after="0"/>
        <w:tabs>
          <w:tab w:leader="none" w:pos="8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 delinquency ratio</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was 2.25% as of March 31, 2026.</w:t>
      </w:r>
    </w:p>
    <w:p>
      <w:pPr>
        <w:spacing w:after="0" w:line="173" w:lineRule="exact"/>
        <w:rPr>
          <w:rFonts w:ascii="Times New Roman" w:cs="Times New Roman" w:eastAsia="Times New Roman" w:hAnsi="Times New Roman"/>
          <w:sz w:val="22"/>
          <w:szCs w:val="22"/>
          <w:color w:val="auto"/>
        </w:rPr>
      </w:pPr>
    </w:p>
    <w:p>
      <w:pPr>
        <w:ind w:left="820" w:hanging="377"/>
        <w:spacing w:after="0" w:line="258" w:lineRule="auto"/>
        <w:tabs>
          <w:tab w:leader="none" w:pos="8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revenue was RMB756.7 million (US$109.7 million), representing a decrease of 57.4% from the same period of 2025.</w:t>
      </w:r>
    </w:p>
    <w:p>
      <w:pPr>
        <w:spacing w:after="0" w:line="185" w:lineRule="exact"/>
        <w:rPr>
          <w:rFonts w:ascii="Times New Roman" w:cs="Times New Roman" w:eastAsia="Times New Roman" w:hAnsi="Times New Roman"/>
          <w:sz w:val="22"/>
          <w:szCs w:val="22"/>
          <w:color w:val="auto"/>
        </w:rPr>
      </w:pPr>
    </w:p>
    <w:p>
      <w:pPr>
        <w:ind w:left="820" w:right="20" w:hanging="377"/>
        <w:spacing w:after="0" w:line="258" w:lineRule="auto"/>
        <w:tabs>
          <w:tab w:leader="none" w:pos="8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from operation was RMB70.1 million (US$10.2 million), compared with RMB606.6 million income from operation in the same period of 2025.</w:t>
      </w:r>
    </w:p>
    <w:p>
      <w:pPr>
        <w:spacing w:after="0" w:line="202" w:lineRule="exact"/>
        <w:rPr>
          <w:rFonts w:ascii="Times New Roman" w:cs="Times New Roman" w:eastAsia="Times New Roman" w:hAnsi="Times New Roman"/>
          <w:sz w:val="22"/>
          <w:szCs w:val="22"/>
          <w:color w:val="auto"/>
        </w:rPr>
      </w:pPr>
    </w:p>
    <w:p>
      <w:pPr>
        <w:ind w:left="820" w:hanging="377"/>
        <w:spacing w:after="0" w:line="246" w:lineRule="auto"/>
        <w:tabs>
          <w:tab w:leader="none" w:pos="8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loss from operation was RMB70.1 million (US$10.2 million), compared with RMB606.6 million non-GAAP</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income from operation in the same period of 2025.</w:t>
      </w:r>
    </w:p>
    <w:p>
      <w:pPr>
        <w:spacing w:after="0" w:line="78" w:lineRule="exact"/>
        <w:rPr>
          <w:rFonts w:ascii="Times New Roman" w:cs="Times New Roman" w:eastAsia="Times New Roman" w:hAnsi="Times New Roman"/>
          <w:sz w:val="22"/>
          <w:szCs w:val="22"/>
          <w:color w:val="auto"/>
        </w:rPr>
      </w:pPr>
    </w:p>
    <w:p>
      <w:pPr>
        <w:ind w:left="820" w:hanging="377"/>
        <w:spacing w:after="0" w:line="258" w:lineRule="auto"/>
        <w:tabs>
          <w:tab w:leader="none" w:pos="8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loss was RMB61.7 million (US$8.9 million), compared with RMB539.5 million net income in the same period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hanging="92"/>
        <w:spacing w:after="0"/>
        <w:tabs>
          <w:tab w:leader="none" w:pos="10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“Transaction volume” refers to the total loan transaction volume in Chinese Mainland during the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2091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jc w:val="both"/>
        <w:ind w:firstLine="8"/>
        <w:spacing w:after="0" w:line="237" w:lineRule="auto"/>
        <w:tabs>
          <w:tab w:leader="none" w:pos="98"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“Repeat borrowing contribution” for a given period refers to the percentage of transaction volume in Chinese Mainland attributable to repeat borrowers during that period. “Repeat borrowers” during a certain period refers to borrowers who have borrowed in such period and have borrowed at least twice since such borrowers’ registration on our platform until the end of such period.</w:t>
      </w:r>
    </w:p>
    <w:p>
      <w:pPr>
        <w:spacing w:after="0" w:line="2" w:lineRule="exact"/>
        <w:rPr>
          <w:rFonts w:ascii="Times New Roman" w:cs="Times New Roman" w:eastAsia="Times New Roman" w:hAnsi="Times New Roman"/>
          <w:sz w:val="22"/>
          <w:szCs w:val="22"/>
          <w:color w:val="auto"/>
          <w:vertAlign w:val="superscript"/>
        </w:rPr>
      </w:pPr>
    </w:p>
    <w:p>
      <w:pPr>
        <w:spacing w:after="0" w:line="23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“90 day+ delinquency ratio” refers to the outstanding principal balance of loans that were 91 to 180 calendar days past due as a percentage of the total outstanding principal balance of loans facilitated through the Company’s platform as of a specific date. Loans facilitated outside Chinese Mainland are not included in the calculation.</w:t>
      </w:r>
    </w:p>
    <w:p>
      <w:pPr>
        <w:spacing w:after="0" w:line="23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Please see the section entitled “Use of Non-GAAP Financial Measure” below and the table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817880</wp:posOffset>
            </wp:positionV>
            <wp:extent cx="113157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Mr. Yan Dinggui, the Company’s Founder, Director and Chief Executive Officer, commented: “In the first quarter of 2026, the industry continued to adapt to a complex macro environment, and we remained focused on strengthening operational resilience and asset quality. Our total transaction volume for the quarter reached RMB 19.3 billion, in line with our previously communicated guidance, while net revenue was RMB 756.7 million.</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During this period, we proactively adjusted our business mix, implemented more stringent credit standards to mitigate risk, and further developed our overseas business. We deepened our technology-empowerment partnerships with financial institutions and continued to broaden our offerings. We also continued to invest strategically in our technology infrastructure and AI-driven risk management capabilities, steadily enhancing our operational efficiency and cost management.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Looking forward, we will maintain a disciplined and prudent approach as market dynamics evolve, with the goal of navigating market cycles through resilient and efficient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Results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Net revenue </w:t>
      </w:r>
      <w:r>
        <w:rPr>
          <w:rFonts w:ascii="Times New Roman" w:cs="Times New Roman" w:eastAsia="Times New Roman" w:hAnsi="Times New Roman"/>
          <w:sz w:val="22"/>
          <w:szCs w:val="22"/>
          <w:color w:val="auto"/>
        </w:rPr>
        <w:t>was RMB756.7 million (US$109.7 million), representing a decrease of 57.4% from the same period of 2025.</w:t>
      </w: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Revenue from loan facilitation services was RMB460.1 million (US$66.7 million), representing a decrease of 68.9% from the same period of 2025. The decrease was primarily attributable to lower transaction volume, as well as the service fee adjustments.</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Revenue from releasing of guarantee liabilities was RMB217.7 million (US$31.6 million) compared with RMB170.6 million in the same period of 2025. The year-over-year increase was primarily due to the increase in average outstanding loan balances for which the Company provided guarantee services.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 revenue was RMB78.9 million (US$11.4 million), compared with RMB126.4 million for the same period of 2025. The decrease was primarily due to the decrease in the contribution from referral fees.</w:t>
      </w:r>
    </w:p>
    <w:p>
      <w:pPr>
        <w:spacing w:after="0" w:line="18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Facilitation and servicing expense </w:t>
      </w:r>
      <w:r>
        <w:rPr>
          <w:rFonts w:ascii="Times New Roman" w:cs="Times New Roman" w:eastAsia="Times New Roman" w:hAnsi="Times New Roman"/>
          <w:sz w:val="22"/>
          <w:szCs w:val="22"/>
          <w:color w:val="auto"/>
        </w:rPr>
        <w:t>was RMB331.6 million (US$48.1 million), representing a decrease of 1.3% from the same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of 2025.</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Allowance for uncollectible receivables, contract assets, prepaid expenses and other current assets and others </w:t>
      </w:r>
      <w:r>
        <w:rPr>
          <w:rFonts w:ascii="Times New Roman" w:cs="Times New Roman" w:eastAsia="Times New Roman" w:hAnsi="Times New Roman"/>
          <w:sz w:val="22"/>
          <w:szCs w:val="22"/>
          <w:color w:val="auto"/>
        </w:rPr>
        <w:t>was RMB1.1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(US$0.2 million), compared with RMB17.5 million for the same period of 2025, primarily due to the decrease in allowance for oversea contingent guarantees.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Sales and marketing expense </w:t>
      </w:r>
      <w:r>
        <w:rPr>
          <w:rFonts w:ascii="Times New Roman" w:cs="Times New Roman" w:eastAsia="Times New Roman" w:hAnsi="Times New Roman"/>
          <w:sz w:val="22"/>
          <w:szCs w:val="22"/>
          <w:color w:val="auto"/>
        </w:rPr>
        <w:t>was RMB340.1 million (US$49.3 million), representing a decrease of 49.6% from the same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of 2025, primarily due to decreased borrower acquisition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817245</wp:posOffset>
            </wp:positionV>
            <wp:extent cx="1131570"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517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General and administrative expense </w:t>
      </w:r>
      <w:r>
        <w:rPr>
          <w:rFonts w:ascii="Times New Roman" w:cs="Times New Roman" w:eastAsia="Times New Roman" w:hAnsi="Times New Roman"/>
          <w:sz w:val="22"/>
          <w:szCs w:val="22"/>
          <w:color w:val="auto"/>
        </w:rPr>
        <w:t>was RMB44.1 million (US$6.4 million), representing a decrease of 16.5% from the same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of 2025, primarily due to decreased professional service fees.</w:t>
      </w:r>
    </w:p>
    <w:p>
      <w:pPr>
        <w:spacing w:after="0" w:line="1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Research and development expense </w:t>
      </w:r>
      <w:r>
        <w:rPr>
          <w:rFonts w:ascii="Times New Roman" w:cs="Times New Roman" w:eastAsia="Times New Roman" w:hAnsi="Times New Roman"/>
          <w:sz w:val="22"/>
          <w:szCs w:val="22"/>
          <w:color w:val="auto"/>
        </w:rPr>
        <w:t>was RMB109.8 million (US$15.9 million), representing an increase of 24.6%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same period of 2025, primarily driven by an increase in technology infrastructure expenses and employee costs.</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Loss from operation </w:t>
      </w:r>
      <w:r>
        <w:rPr>
          <w:rFonts w:ascii="Times New Roman" w:cs="Times New Roman" w:eastAsia="Times New Roman" w:hAnsi="Times New Roman"/>
          <w:sz w:val="22"/>
          <w:szCs w:val="22"/>
          <w:color w:val="auto"/>
        </w:rPr>
        <w:t>was RMB70.1 million (US$10.2 million), compared with RMB606.6 million income from operation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same period of 2025.</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Non-GAAP loss from operation </w:t>
      </w:r>
      <w:r>
        <w:rPr>
          <w:rFonts w:ascii="Times New Roman" w:cs="Times New Roman" w:eastAsia="Times New Roman" w:hAnsi="Times New Roman"/>
          <w:sz w:val="22"/>
          <w:szCs w:val="22"/>
          <w:color w:val="auto"/>
        </w:rPr>
        <w:t>was RMB70.1 million (US$10.2 million), compared with RMB606.6 million non-GAAP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income from operation in the same period of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was RMB61.7 million (US$8.9 million), compared with RMB539.5 million net income in the same period of 2025.</w:t>
      </w:r>
    </w:p>
    <w:p>
      <w:pPr>
        <w:spacing w:after="0" w:line="2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Basic and diluted net loss per share </w:t>
      </w:r>
      <w:r>
        <w:rPr>
          <w:rFonts w:ascii="Times New Roman" w:cs="Times New Roman" w:eastAsia="Times New Roman" w:hAnsi="Times New Roman"/>
          <w:sz w:val="22"/>
          <w:szCs w:val="22"/>
          <w:color w:val="auto"/>
        </w:rPr>
        <w:t>were both RMB0.29 (US$0.04) compared with RMB2.53 basic and diluted net income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in the first quarter of 2025.</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Basic and diluted net loss per ADS </w:t>
      </w:r>
      <w:r>
        <w:rPr>
          <w:rFonts w:ascii="Times New Roman" w:cs="Times New Roman" w:eastAsia="Times New Roman" w:hAnsi="Times New Roman"/>
          <w:sz w:val="22"/>
          <w:szCs w:val="22"/>
          <w:color w:val="auto"/>
        </w:rPr>
        <w:t>were both RMB1.16 (US$0.16) compared with RMB10.12 basic and diluted net income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ADS in the first quarter of 2025. Each ADS represents four Class A ordinary shares of the Company.</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Cash and cash equivalents </w:t>
      </w:r>
      <w:r>
        <w:rPr>
          <w:rFonts w:ascii="Times New Roman" w:cs="Times New Roman" w:eastAsia="Times New Roman" w:hAnsi="Times New Roman"/>
          <w:sz w:val="22"/>
          <w:szCs w:val="22"/>
          <w:color w:val="auto"/>
        </w:rPr>
        <w:t>were RMB43.4 million (US$6.3 million) as of March 31, 2026, compared with RMB61.8 million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December 31, 2025.</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chart and table display the historical cumulative M3+ Delinquency Rate by Vintage for loan products facilitated through the Company’s platform in Chinese Mainland.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5143500" cy="2400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24003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817245</wp:posOffset>
            </wp:positionV>
            <wp:extent cx="1131570" cy="351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517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Outlook</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expects its transaction volume for the second quarter of 2026 to be in the range of RMB9.5 billion to RMB10.5 billion. This outlook reflects a disciplined recalibration of our strategy as we prioritize asset quality and operational resilience amidst the evolving regulatory and macroeconomic landscape. This forecast reflects the Company’s current and preliminary views on the market and operational conditions, which are subject to change.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 Repurchase Plan Update</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June 2026, the Company’s Board of Directors approved to extend the share repurchase plan for another period of 12 months, commencing on June 13, 2026 and ending on June 12, 2027. Pursuant to the extended share repurchase plan, the Company may repurchase its ordinary shares through June 12, 2027 with an aggregate value not exceeding the remaining balance under the share repurchase plan.</w:t>
      </w:r>
    </w:p>
    <w:p>
      <w:pPr>
        <w:spacing w:after="0" w:line="20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June 23, 2026, the Company had repurchased approximately 4.6 million of its American depositary shares for approximately US$30.4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817245</wp:posOffset>
            </wp:positionV>
            <wp:extent cx="1131570" cy="351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517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will conduct a conference call to discuss its financial results on June 23, 2026, at 8:00 AM U.S. Eastern Time (8:00 PM Beijing/Hong Kong Time on the same day).</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join the conference call, all participants must use the following link to complete the online registration process in advance. Upon registering, each participant will receive access details for this event including the dial-in numbers, a PIN number, and an e-mail with detailed instructions to join the conference call.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 Online Registration: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https://register-conf.media-server.com/register/BI9ec10bb5cd874c548096cbdae6e3f52b</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live and archived webcast of the conference call will be available on the Company’s investors relations website at http://ir.jiayintech.cn/.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817245</wp:posOffset>
            </wp:positionV>
            <wp:extent cx="1131570" cy="351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517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Jiayin Group Inc.</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Jiayin Group Inc. is a leading fintech platform in China committed to facilitating effective, transparent, secure and fast connections between underserved individual borrowers and financial institutions. The origin of the business of the Company can be traced back to 2011. The Company operates a highly secure and open platform with a comprehensive risk management system and a proprietary and effective risk assessment model which employs advanced big data analytics and sophisticated algorithms to accurately assess the risk profiles of potential borrowers. For more information, please visit http://ir.jiayintech.cn/.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Non-GAAP Financial Measure</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use non-GAAP income from operation, which is a non-GAAP financial measure, in evaluating our operating results and for financial and operational decision-making purposes. We believe that the non-GAAP financial measure helps identify underlying trends in our business by excluding the impact of share-based compensation expenses. We believe that non-GAAP financial measure provides useful information about our operating results, enhances the overall understanding of our past performance and future prospects and allows for greater visibility with respect to key metrics used by our management in its financial and operational decision-making.</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Non-GAAP income from operation represents income from operation excluding share-based compensation expenses. Such adjustment has no impact on income tax.</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Non-GAAP income from operation is not defined under U.S. GAAP and is not presented in accordance with U.S. GAAP. The non-GAAP financial measure has limitations as analytical tool, and when assessing our operating performance, cash flows or our liquidity, investors should not consider it in isolation, or as a substitute for income from operation, net income, cash flows provided by operating activities or other consolidated statements of operation and cash flow data prepared in accordance with U.S. GAAP. The Company encourages investors and others to review our financial information in its entirety and not rely on a single financial measure.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more information on this non-GAAP financial measure, please see the table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817245</wp:posOffset>
            </wp:positionV>
            <wp:extent cx="1131570" cy="351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517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Rate Information</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announcement contains translations of certain RMB amounts into U.S. dollars (“US$”) at a specified rates solely for the convenience of the reader. Unless otherwise noted, all translations from RMB to U.S. dollars are made at a rate of RMB6.8980 to US$1.00, the exchange rate set forth in the H.10 statistical release of the Board of Governors of the Federal Reserve System as of March 31, 2026. The Company makes no representation that the RMB or US$ amounts referred could be converted into US$ or RMB, as the case may be, at any particular rate or at all.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 Forward-Looking Statements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The Company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are based on current expectations, assumptions, estimates and projections about the Company and the industry. Potential risks and uncertainties include, but are not limited to, those relating to the Company’s ability to retain existing borrowers and attract new borrowers in an effective and cost-efficient way, the Company’s ability to increase the transaction volume through its marketplace, effectiveness of the Company’s credit assessment model and risk management system, PRC laws and regulations relating to the online individual finance industry in China, general economic conditions in China, and the Company’s ability to meet the standards necessary to maintain listing of its ADSs on the Nasdaq Stock Market or other stock exchange, including its ability to cure any non-compliance with the continued listing criteria of the Nasdaq Stock Market. All information provided in this press release is as of the date hereof, and the Company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including its annual report on Form 20-F.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Jiayin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 Emily Lu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563C1"/>
        </w:rPr>
        <w:t>ir@jiayinfintech.cn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817880</wp:posOffset>
            </wp:positionV>
            <wp:extent cx="1131570"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511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JIAYIN GROUP INC.</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UNAUDITED CONDENSED CONSOLIDATED BALANCE SHEETS</w:t>
      </w:r>
    </w:p>
    <w:p>
      <w:pPr>
        <w:jc w:val="center"/>
        <w:spacing w:after="0" w:line="227" w:lineRule="auto"/>
        <w:rPr>
          <w:sz w:val="20"/>
          <w:szCs w:val="20"/>
          <w:color w:val="auto"/>
        </w:rPr>
      </w:pPr>
      <w:r>
        <w:rPr>
          <w:rFonts w:ascii="Times New Roman" w:cs="Times New Roman" w:eastAsia="Times New Roman" w:hAnsi="Times New Roman"/>
          <w:sz w:val="22"/>
          <w:szCs w:val="22"/>
          <w:color w:val="auto"/>
        </w:rPr>
        <w:t>(Amounts in thousands, except for share and per share data)</w:t>
      </w:r>
    </w:p>
    <w:tbl>
      <w:tblPr>
        <w:tblLayout w:type="fixed"/>
        <w:tblInd w:w="0" w:type="dxa"/>
        <w:tblCellMar>
          <w:top w:w="0" w:type="dxa"/>
          <w:left w:w="0" w:type="dxa"/>
          <w:bottom w:w="0" w:type="dxa"/>
          <w:right w:w="0" w:type="dxa"/>
        </w:tblCellMar>
      </w:tblPr>
      <w:tr>
        <w:trPr>
          <w:trHeight w:val="131"/>
        </w:trPr>
        <w:tc>
          <w:tcPr>
            <w:tcW w:w="598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1"/>
                <w:szCs w:val="11"/>
                <w:color w:val="auto"/>
              </w:rPr>
            </w:pPr>
          </w:p>
        </w:tc>
        <w:tc>
          <w:tcPr>
            <w:tcW w:w="2220" w:type="dxa"/>
            <w:vAlign w:val="bottom"/>
            <w:gridSpan w:val="3"/>
          </w:tcPr>
          <w:p>
            <w:pPr>
              <w:jc w:val="center"/>
              <w:ind w:left="1028"/>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598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2220" w:type="dxa"/>
            <w:vAlign w:val="bottom"/>
            <w:tcBorders>
              <w:bottom w:val="single" w:sz="8" w:color="auto"/>
            </w:tcBorders>
            <w:gridSpan w:val="3"/>
          </w:tcPr>
          <w:p>
            <w:pPr>
              <w:jc w:val="center"/>
              <w:ind w:left="10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80" w:type="dxa"/>
            <w:vAlign w:val="bottom"/>
          </w:tcPr>
          <w:p>
            <w:pPr>
              <w:spacing w:after="0"/>
              <w:rPr>
                <w:sz w:val="12"/>
                <w:szCs w:val="12"/>
                <w:color w:val="auto"/>
              </w:rPr>
            </w:pPr>
          </w:p>
        </w:tc>
        <w:tc>
          <w:tcPr>
            <w:tcW w:w="15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20" w:type="dxa"/>
            <w:vAlign w:val="bottom"/>
            <w:tcBorders>
              <w:bottom w:val="single" w:sz="8" w:color="auto"/>
            </w:tcBorders>
            <w:gridSpan w:val="3"/>
          </w:tcPr>
          <w:p>
            <w:pPr>
              <w:jc w:val="center"/>
              <w:ind w:left="10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2220" w:type="dxa"/>
            <w:vAlign w:val="bottom"/>
            <w:gridSpan w:val="3"/>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160" w:type="dxa"/>
            <w:vAlign w:val="bottom"/>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61,837</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43,381</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6,289</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413,601</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388,515</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56,323</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and contract assets, net</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3,732,677</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3,069,990</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445,055</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Financial assets receivable, net</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601,600</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557,357</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80,800</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 net</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1,811,772</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2,298,804</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333,257</w:t>
            </w:r>
          </w:p>
        </w:tc>
        <w:tc>
          <w:tcPr>
            <w:tcW w:w="100" w:type="dxa"/>
            <w:vAlign w:val="bottom"/>
          </w:tcPr>
          <w:p>
            <w:pPr>
              <w:spacing w:after="0"/>
              <w:rPr>
                <w:sz w:val="12"/>
                <w:szCs w:val="12"/>
                <w:color w:val="auto"/>
              </w:rPr>
            </w:pPr>
          </w:p>
        </w:tc>
      </w:tr>
      <w:tr>
        <w:trPr>
          <w:trHeight w:val="148"/>
        </w:trPr>
        <w:tc>
          <w:tcPr>
            <w:tcW w:w="598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1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301,184</w:t>
            </w:r>
          </w:p>
        </w:tc>
        <w:tc>
          <w:tcPr>
            <w:tcW w:w="22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302,769</w:t>
            </w:r>
          </w:p>
        </w:tc>
        <w:tc>
          <w:tcPr>
            <w:tcW w:w="2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43,892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9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6,922,671</w:t>
            </w:r>
          </w:p>
        </w:tc>
        <w:tc>
          <w:tcPr>
            <w:tcW w:w="22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6,660,816</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965,616</w:t>
            </w:r>
          </w:p>
        </w:tc>
        <w:tc>
          <w:tcPr>
            <w:tcW w:w="100" w:type="dxa"/>
            <w:vAlign w:val="bottom"/>
          </w:tcPr>
          <w:p>
            <w:pPr>
              <w:spacing w:after="0"/>
              <w:rPr>
                <w:sz w:val="12"/>
                <w:szCs w:val="12"/>
                <w:color w:val="auto"/>
              </w:rPr>
            </w:pPr>
          </w:p>
        </w:tc>
      </w:tr>
      <w:tr>
        <w:trPr>
          <w:trHeight w:val="142"/>
        </w:trPr>
        <w:tc>
          <w:tcPr>
            <w:tcW w:w="59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Property and equipment, net</w:t>
            </w: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1,326,943</w:t>
            </w:r>
          </w:p>
        </w:tc>
        <w:tc>
          <w:tcPr>
            <w:tcW w:w="18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1,307,386</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189,531</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31,195</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24,171</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3,504</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investments, net</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302,077</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342,396</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49,637</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assets, net</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96,534</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104,500</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15,149</w:t>
            </w:r>
          </w:p>
        </w:tc>
        <w:tc>
          <w:tcPr>
            <w:tcW w:w="100" w:type="dxa"/>
            <w:vAlign w:val="bottom"/>
          </w:tcPr>
          <w:p>
            <w:pPr>
              <w:spacing w:after="0"/>
              <w:rPr>
                <w:sz w:val="12"/>
                <w:szCs w:val="12"/>
                <w:color w:val="auto"/>
              </w:rPr>
            </w:pPr>
          </w:p>
        </w:tc>
      </w:tr>
      <w:tr>
        <w:trPr>
          <w:trHeight w:val="148"/>
        </w:trPr>
        <w:tc>
          <w:tcPr>
            <w:tcW w:w="598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76,545</w:t>
            </w:r>
          </w:p>
        </w:tc>
        <w:tc>
          <w:tcPr>
            <w:tcW w:w="22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108,519</w:t>
            </w:r>
          </w:p>
        </w:tc>
        <w:tc>
          <w:tcPr>
            <w:tcW w:w="2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9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1,833,294</w:t>
            </w:r>
          </w:p>
        </w:tc>
        <w:tc>
          <w:tcPr>
            <w:tcW w:w="22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1,886,972</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273,553</w:t>
            </w:r>
          </w:p>
        </w:tc>
        <w:tc>
          <w:tcPr>
            <w:tcW w:w="100" w:type="dxa"/>
            <w:vAlign w:val="bottom"/>
          </w:tcPr>
          <w:p>
            <w:pPr>
              <w:spacing w:after="0"/>
              <w:rPr>
                <w:sz w:val="12"/>
                <w:szCs w:val="12"/>
                <w:color w:val="auto"/>
              </w:rPr>
            </w:pPr>
          </w:p>
        </w:tc>
      </w:tr>
      <w:tr>
        <w:trPr>
          <w:trHeight w:val="182"/>
        </w:trPr>
        <w:tc>
          <w:tcPr>
            <w:tcW w:w="59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8,755,965</w:t>
            </w:r>
          </w:p>
        </w:tc>
        <w:tc>
          <w:tcPr>
            <w:tcW w:w="18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8,547,788</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1,239,169</w:t>
            </w:r>
          </w:p>
        </w:tc>
        <w:tc>
          <w:tcPr>
            <w:tcW w:w="100" w:type="dxa"/>
            <w:vAlign w:val="bottom"/>
            <w:shd w:val="clear" w:color="auto" w:fill="CFF0FC"/>
          </w:tcPr>
          <w:p>
            <w:pPr>
              <w:spacing w:after="0"/>
              <w:rPr>
                <w:sz w:val="15"/>
                <w:szCs w:val="15"/>
                <w:color w:val="auto"/>
              </w:rPr>
            </w:pPr>
          </w:p>
        </w:tc>
      </w:tr>
      <w:tr>
        <w:trPr>
          <w:trHeight w:val="129"/>
        </w:trPr>
        <w:tc>
          <w:tcPr>
            <w:tcW w:w="59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59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Bank borrowings, current</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155,043</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155,043</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22,477</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guarantee income</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458,903</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424,912</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61,599</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Contingent guarantee liabilities</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617,588</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548,479</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79,513</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Payroll and welfare payables</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210,367</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194,985</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28,267</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288,100</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275,701</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39,968</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Tax payables</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1,054,527</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998,964</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144,819</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874,630</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896,457</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129,959</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 current</w:t>
            </w:r>
          </w:p>
        </w:tc>
        <w:tc>
          <w:tcPr>
            <w:tcW w:w="1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25,290</w:t>
            </w:r>
          </w:p>
        </w:tc>
        <w:tc>
          <w:tcPr>
            <w:tcW w:w="22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22,054</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3,197</w:t>
            </w:r>
          </w:p>
        </w:tc>
        <w:tc>
          <w:tcPr>
            <w:tcW w:w="100" w:type="dxa"/>
            <w:vAlign w:val="bottom"/>
          </w:tcPr>
          <w:p>
            <w:pPr>
              <w:spacing w:after="0"/>
              <w:rPr>
                <w:sz w:val="12"/>
                <w:szCs w:val="12"/>
                <w:color w:val="auto"/>
              </w:rPr>
            </w:pPr>
          </w:p>
        </w:tc>
      </w:tr>
      <w:tr>
        <w:trPr>
          <w:trHeight w:val="142"/>
        </w:trPr>
        <w:tc>
          <w:tcPr>
            <w:tcW w:w="598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3,684,448</w:t>
            </w:r>
          </w:p>
        </w:tc>
        <w:tc>
          <w:tcPr>
            <w:tcW w:w="22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3,516,595</w:t>
            </w:r>
          </w:p>
        </w:tc>
        <w:tc>
          <w:tcPr>
            <w:tcW w:w="2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509,799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9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Bank borrowings, non-current</w:t>
            </w: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516,000</w:t>
            </w:r>
          </w:p>
        </w:tc>
        <w:tc>
          <w:tcPr>
            <w:tcW w:w="1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516,000</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74,804</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106,912</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107,422</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15,573</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4,297</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2"/>
                <w:szCs w:val="12"/>
                <w:color w:val="auto"/>
              </w:rPr>
            </w:pPr>
          </w:p>
        </w:tc>
      </w:tr>
      <w:tr>
        <w:trPr>
          <w:trHeight w:val="149"/>
        </w:trPr>
        <w:tc>
          <w:tcPr>
            <w:tcW w:w="598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12,882</w:t>
            </w:r>
          </w:p>
        </w:tc>
        <w:tc>
          <w:tcPr>
            <w:tcW w:w="22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36,288</w:t>
            </w:r>
          </w:p>
        </w:tc>
        <w:tc>
          <w:tcPr>
            <w:tcW w:w="2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5,261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9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640,091</w:t>
            </w:r>
          </w:p>
        </w:tc>
        <w:tc>
          <w:tcPr>
            <w:tcW w:w="22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660,515</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95,755</w:t>
            </w:r>
          </w:p>
        </w:tc>
        <w:tc>
          <w:tcPr>
            <w:tcW w:w="100" w:type="dxa"/>
            <w:vAlign w:val="bottom"/>
          </w:tcPr>
          <w:p>
            <w:pPr>
              <w:spacing w:after="0"/>
              <w:rPr>
                <w:sz w:val="12"/>
                <w:szCs w:val="12"/>
                <w:color w:val="auto"/>
              </w:rPr>
            </w:pPr>
          </w:p>
        </w:tc>
      </w:tr>
      <w:tr>
        <w:trPr>
          <w:trHeight w:val="142"/>
        </w:trPr>
        <w:tc>
          <w:tcPr>
            <w:tcW w:w="59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4,324,539</w:t>
            </w:r>
          </w:p>
        </w:tc>
        <w:tc>
          <w:tcPr>
            <w:tcW w:w="18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4,177,110</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605,554</w:t>
            </w:r>
          </w:p>
        </w:tc>
        <w:tc>
          <w:tcPr>
            <w:tcW w:w="100" w:type="dxa"/>
            <w:vAlign w:val="bottom"/>
            <w:shd w:val="clear" w:color="auto" w:fill="CFF0FC"/>
          </w:tcPr>
          <w:p>
            <w:pPr>
              <w:spacing w:after="0"/>
              <w:rPr>
                <w:sz w:val="12"/>
                <w:szCs w:val="12"/>
                <w:color w:val="auto"/>
              </w:rPr>
            </w:pPr>
          </w:p>
        </w:tc>
      </w:tr>
      <w:tr>
        <w:trPr>
          <w:trHeight w:val="142"/>
        </w:trPr>
        <w:tc>
          <w:tcPr>
            <w:tcW w:w="5980" w:type="dxa"/>
            <w:vAlign w:val="bottom"/>
            <w:tcBorders>
              <w:top w:val="single" w:sz="8" w:color="CFF0FC"/>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598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4,431,426</w:t>
            </w:r>
          </w:p>
        </w:tc>
        <w:tc>
          <w:tcPr>
            <w:tcW w:w="22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4,370,678</w:t>
            </w:r>
          </w:p>
        </w:tc>
        <w:tc>
          <w:tcPr>
            <w:tcW w:w="2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633,615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8,755,965</w:t>
            </w:r>
          </w:p>
        </w:tc>
        <w:tc>
          <w:tcPr>
            <w:tcW w:w="1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8,547,788</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1,239,169</w:t>
            </w:r>
          </w:p>
        </w:tc>
        <w:tc>
          <w:tcPr>
            <w:tcW w:w="100" w:type="dxa"/>
            <w:vAlign w:val="bottom"/>
          </w:tcPr>
          <w:p>
            <w:pPr>
              <w:spacing w:after="0"/>
              <w:rPr>
                <w:sz w:val="12"/>
                <w:szCs w:val="12"/>
                <w:color w:val="auto"/>
              </w:rPr>
            </w:pPr>
          </w:p>
        </w:tc>
      </w:tr>
      <w:tr>
        <w:trPr>
          <w:trHeight w:val="20"/>
        </w:trPr>
        <w:tc>
          <w:tcPr>
            <w:tcW w:w="59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8"/>
        </w:trPr>
        <w:tc>
          <w:tcPr>
            <w:tcW w:w="59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-3728085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-3728085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-3145790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-3145790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-3145790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-2939415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-2922270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-2939415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-2922270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-1962150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-1962150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-1576705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-1576705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-1370965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-1370965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-1174115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-1174115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817880</wp:posOffset>
            </wp:positionV>
            <wp:extent cx="1131570" cy="351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511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JIAYIN GROUP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 CONDENSED CONSOLIDATED STATEMENTS OF COMPREHENSIVE INCOME</w:t>
      </w:r>
    </w:p>
    <w:p>
      <w:pPr>
        <w:jc w:val="center"/>
        <w:ind w:right="40"/>
        <w:spacing w:after="0"/>
        <w:rPr>
          <w:sz w:val="20"/>
          <w:szCs w:val="20"/>
          <w:color w:val="auto"/>
        </w:rPr>
      </w:pPr>
      <w:r>
        <w:rPr>
          <w:rFonts w:ascii="Times New Roman" w:cs="Times New Roman" w:eastAsia="Times New Roman" w:hAnsi="Times New Roman"/>
          <w:sz w:val="22"/>
          <w:szCs w:val="22"/>
          <w:color w:val="auto"/>
        </w:rPr>
        <w:t>(Amounts 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3540" w:type="dxa"/>
            <w:vAlign w:val="bottom"/>
            <w:gridSpan w:val="6"/>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80" w:type="dxa"/>
            <w:vAlign w:val="bottom"/>
          </w:tcPr>
          <w:p>
            <w:pPr>
              <w:spacing w:after="0"/>
              <w:rPr>
                <w:sz w:val="17"/>
                <w:szCs w:val="17"/>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19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13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RMB</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1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1,775,576</w:t>
            </w:r>
          </w:p>
        </w:tc>
        <w:tc>
          <w:tcPr>
            <w:tcW w:w="2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756,681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109,696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3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Facilitation and servicing</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(336,011)</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(331,599)</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(48,072)</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uncollectible receivables, contract assets,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 and others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(17,541)</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(1,125)</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(674,494)</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(340,119)</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(49,307)</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(52,795)</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(44,130)</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(6,398)</w:t>
            </w:r>
          </w:p>
        </w:tc>
        <w:tc>
          <w:tcPr>
            <w:tcW w:w="0" w:type="dxa"/>
            <w:vAlign w:val="bottom"/>
          </w:tcPr>
          <w:p>
            <w:pPr>
              <w:spacing w:after="0"/>
              <w:rPr>
                <w:sz w:val="1"/>
                <w:szCs w:val="1"/>
                <w:color w:val="auto"/>
              </w:rPr>
            </w:pPr>
          </w:p>
        </w:tc>
      </w:tr>
      <w:tr>
        <w:trPr>
          <w:trHeight w:val="202"/>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(88,088)</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(109,775)</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(15,914)</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(1,168,929)</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(826,748)</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(119,854)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606,647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(70,067)</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(10,158)</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260" w:type="dxa"/>
            <w:vAlign w:val="bottom"/>
          </w:tcPr>
          <w:p>
            <w:pPr>
              <w:spacing w:after="0"/>
              <w:rPr>
                <w:sz w:val="17"/>
                <w:szCs w:val="17"/>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(776)</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3"/>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52,389</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663,211</w:t>
            </w:r>
          </w:p>
        </w:tc>
        <w:tc>
          <w:tcPr>
            <w:tcW w:w="260" w:type="dxa"/>
            <w:vAlign w:val="bottom"/>
          </w:tcPr>
          <w:p>
            <w:pPr>
              <w:spacing w:after="0"/>
              <w:rPr>
                <w:sz w:val="17"/>
                <w:szCs w:val="17"/>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(69,415)</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(10,063)</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(123,729)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539,482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(61,663)</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(8,939)</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Jiayin Group Inc.</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539,484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(61,656)</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(8,938)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48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Weighted average shares used in calculating net income</w:t>
            </w: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 Basic and diluted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213,478,184</w:t>
            </w:r>
          </w:p>
        </w:tc>
        <w:tc>
          <w:tcPr>
            <w:tcW w:w="2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209,318,184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209,318,184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 Basic and diluted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60" w:type="dxa"/>
            <w:vAlign w:val="bottom"/>
          </w:tcPr>
          <w:p>
            <w:pPr>
              <w:spacing w:after="0"/>
              <w:rPr>
                <w:sz w:val="17"/>
                <w:szCs w:val="17"/>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(0.29)</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 per ADS:</w:t>
            </w: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 Basic and diluted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260" w:type="dxa"/>
            <w:vAlign w:val="bottom"/>
          </w:tcPr>
          <w:p>
            <w:pPr>
              <w:spacing w:after="0"/>
              <w:rPr>
                <w:sz w:val="17"/>
                <w:szCs w:val="17"/>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539,482</w:t>
            </w:r>
          </w:p>
        </w:tc>
        <w:tc>
          <w:tcPr>
            <w:tcW w:w="260" w:type="dxa"/>
            <w:vAlign w:val="bottom"/>
            <w:shd w:val="clear" w:color="auto" w:fill="CFF0FC"/>
          </w:tcPr>
          <w:p>
            <w:pPr>
              <w:spacing w:after="0"/>
              <w:rPr>
                <w:sz w:val="17"/>
                <w:szCs w:val="17"/>
                <w:color w:val="auto"/>
              </w:rPr>
            </w:pP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(61,663)</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(8,939)</w:t>
            </w:r>
          </w:p>
        </w:tc>
        <w:tc>
          <w:tcPr>
            <w:tcW w:w="0" w:type="dxa"/>
            <w:vAlign w:val="bottom"/>
          </w:tcPr>
          <w:p>
            <w:pPr>
              <w:spacing w:after="0"/>
              <w:rPr>
                <w:sz w:val="1"/>
                <w:szCs w:val="1"/>
                <w:color w:val="auto"/>
              </w:rPr>
            </w:pPr>
          </w:p>
        </w:tc>
      </w:tr>
      <w:tr>
        <w:trPr>
          <w:trHeight w:val="202"/>
        </w:trPr>
        <w:tc>
          <w:tcPr>
            <w:tcW w:w="6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(783)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538,699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(60,747)</w:t>
            </w:r>
          </w:p>
        </w:tc>
        <w:tc>
          <w:tcPr>
            <w:tcW w:w="26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(8,806)</w:t>
            </w:r>
          </w:p>
        </w:tc>
        <w:tc>
          <w:tcPr>
            <w:tcW w:w="0" w:type="dxa"/>
            <w:vAlign w:val="bottom"/>
          </w:tcPr>
          <w:p>
            <w:pPr>
              <w:spacing w:after="0"/>
              <w:rPr>
                <w:sz w:val="1"/>
                <w:szCs w:val="1"/>
                <w:color w:val="auto"/>
              </w:rPr>
            </w:pPr>
          </w:p>
        </w:tc>
      </w:tr>
      <w:tr>
        <w:trPr>
          <w:trHeight w:val="18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 attributable to</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6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spacing w:after="0"/>
              <w:rPr>
                <w:sz w:val="16"/>
                <w:szCs w:val="16"/>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36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34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4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income (loss) attributable to</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538,653</w:t>
            </w:r>
          </w:p>
        </w:tc>
        <w:tc>
          <w:tcPr>
            <w:tcW w:w="260" w:type="dxa"/>
            <w:vAlign w:val="bottom"/>
          </w:tcPr>
          <w:p>
            <w:pPr>
              <w:spacing w:after="0"/>
              <w:rPr>
                <w:sz w:val="15"/>
                <w:szCs w:val="15"/>
                <w:color w:val="auto"/>
              </w:rPr>
            </w:pPr>
          </w:p>
        </w:tc>
        <w:tc>
          <w:tcPr>
            <w:tcW w:w="1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(60,791)</w:t>
            </w:r>
          </w:p>
        </w:tc>
        <w:tc>
          <w:tcPr>
            <w:tcW w:w="260" w:type="dxa"/>
            <w:vAlign w:val="bottom"/>
          </w:tcPr>
          <w:p>
            <w:pPr>
              <w:spacing w:after="0"/>
              <w:rPr>
                <w:sz w:val="15"/>
                <w:szCs w:val="15"/>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(8,812)</w:t>
            </w:r>
          </w:p>
        </w:tc>
        <w:tc>
          <w:tcPr>
            <w:tcW w:w="0" w:type="dxa"/>
            <w:vAlign w:val="bottom"/>
          </w:tcPr>
          <w:p>
            <w:pPr>
              <w:spacing w:after="0"/>
              <w:rPr>
                <w:sz w:val="1"/>
                <w:szCs w:val="1"/>
                <w:color w:val="auto"/>
              </w:rPr>
            </w:pPr>
          </w:p>
        </w:tc>
      </w:tr>
      <w:tr>
        <w:trPr>
          <w:trHeight w:val="178"/>
        </w:trPr>
        <w:tc>
          <w:tcPr>
            <w:tcW w:w="648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b w:val="1"/>
                <w:bCs w:val="1"/>
                <w:color w:val="auto"/>
              </w:rPr>
              <w:t>Jiayin Group Inc.</w:t>
            </w:r>
          </w:p>
        </w:tc>
        <w:tc>
          <w:tcPr>
            <w:tcW w:w="1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8"/>
        </w:trPr>
        <w:tc>
          <w:tcPr>
            <w:tcW w:w="6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-5116830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-5116830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-5116830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-4208145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-4208145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-4208145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-3676650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-3676650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-3676650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-3411220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-3411220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-3411220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-3145155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-3145155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-3145155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-1696720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-1696720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-1310640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-1310640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-1310640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817880</wp:posOffset>
            </wp:positionV>
            <wp:extent cx="1131570" cy="351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511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JIAYIN GROUP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 RECONCILIATIONS OF GAAP AND NON-GAAP RESULTS</w:t>
      </w:r>
    </w:p>
    <w:p>
      <w:pPr>
        <w:jc w:val="center"/>
        <w:ind w:right="40"/>
        <w:spacing w:after="0"/>
        <w:rPr>
          <w:sz w:val="20"/>
          <w:szCs w:val="20"/>
          <w:color w:val="auto"/>
        </w:rPr>
      </w:pPr>
      <w:r>
        <w:rPr>
          <w:rFonts w:ascii="Times New Roman" w:cs="Times New Roman" w:eastAsia="Times New Roman" w:hAnsi="Times New Roman"/>
          <w:sz w:val="22"/>
          <w:szCs w:val="22"/>
          <w:color w:val="auto"/>
        </w:rPr>
        <w:t>(Amounts in thousands, except for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9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2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252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1240" w:type="dxa"/>
            <w:vAlign w:val="bottom"/>
            <w:tcBorders>
              <w:top w:val="single" w:sz="8" w:color="auto"/>
            </w:tcBorders>
          </w:tcPr>
          <w:p>
            <w:pPr>
              <w:jc w:val="center"/>
              <w:ind w:left="5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2"/>
          </w:tcPr>
          <w:p>
            <w:pPr>
              <w:jc w:val="right"/>
              <w:ind w:right="10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40" w:type="dxa"/>
            <w:vAlign w:val="bottom"/>
            <w:tcBorders>
              <w:top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24"/>
        </w:trPr>
        <w:tc>
          <w:tcPr>
            <w:tcW w:w="6140" w:type="dxa"/>
            <w:vAlign w:val="bottom"/>
            <w:gridSpan w:val="2"/>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Reconciliation of Non-GAAP income from</w:t>
            </w:r>
          </w:p>
        </w:tc>
        <w:tc>
          <w:tcPr>
            <w:tcW w:w="6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3"/>
        </w:trPr>
        <w:tc>
          <w:tcPr>
            <w:tcW w:w="61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operation to Income from operation</w:t>
            </w: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8"/>
        </w:trPr>
        <w:tc>
          <w:tcPr>
            <w:tcW w:w="6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(loss) from operation</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606,647</w:t>
            </w:r>
          </w:p>
        </w:tc>
        <w:tc>
          <w:tcPr>
            <w:tcW w:w="252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(70,067)</w:t>
            </w:r>
          </w:p>
        </w:tc>
        <w:tc>
          <w:tcPr>
            <w:tcW w:w="1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(10,158)</w:t>
            </w:r>
          </w:p>
        </w:tc>
      </w:tr>
      <w:tr>
        <w:trPr>
          <w:trHeight w:val="148"/>
        </w:trPr>
        <w:tc>
          <w:tcPr>
            <w:tcW w:w="4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 share-based compensation expenses</w:t>
            </w:r>
          </w:p>
        </w:tc>
        <w:tc>
          <w:tcPr>
            <w:tcW w:w="12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Non-GAAP income (loss) from operation</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606,647</w:t>
            </w:r>
          </w:p>
        </w:tc>
        <w:tc>
          <w:tcPr>
            <w:tcW w:w="252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(70,067)</w:t>
            </w:r>
          </w:p>
        </w:tc>
        <w:tc>
          <w:tcPr>
            <w:tcW w:w="19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(10,158)</w:t>
            </w:r>
          </w:p>
        </w:tc>
      </w:tr>
      <w:tr>
        <w:trPr>
          <w:trHeight w:val="20"/>
        </w:trPr>
        <w:tc>
          <w:tcPr>
            <w:tcW w:w="4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8"/>
        </w:trPr>
        <w:tc>
          <w:tcPr>
            <w:tcW w:w="49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-1173480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-1173480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2026-06-23T05:25:19Z</dcterms:created>
  <dcterms:modified xsi:type="dcterms:W3CDTF">2026-06-23T05:25:19Z</dcterms:modified>
</cp:coreProperties>
</file>